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2B" w:rsidRDefault="002C0E20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</w:t>
      </w:r>
      <w:r w:rsidR="00CE11C7">
        <w:rPr>
          <w:rFonts w:ascii="黑体" w:eastAsia="黑体" w:hAnsi="黑体" w:hint="eastAsia"/>
          <w:sz w:val="36"/>
          <w:szCs w:val="36"/>
        </w:rPr>
        <w:t>3</w:t>
      </w: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年硕士研究生入学考试自命题科目考试大纲</w:t>
      </w:r>
    </w:p>
    <w:p w:rsidR="0047072B" w:rsidRDefault="002C0E20">
      <w:pPr>
        <w:spacing w:line="500" w:lineRule="exact"/>
        <w:jc w:val="center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科目代码：831  科目名称：信号与系统</w:t>
      </w:r>
    </w:p>
    <w:p w:rsidR="0047072B" w:rsidRDefault="002C0E20">
      <w:pPr>
        <w:numPr>
          <w:ilvl w:val="0"/>
          <w:numId w:val="1"/>
        </w:numPr>
        <w:snapToGrid w:val="0"/>
        <w:spacing w:beforeLines="50" w:before="156" w:afterLines="50" w:after="156"/>
        <w:ind w:left="0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考试要求</w:t>
      </w:r>
    </w:p>
    <w:p w:rsidR="0047072B" w:rsidRDefault="002C0E20">
      <w:pPr>
        <w:snapToGrid w:val="0"/>
        <w:spacing w:beforeLines="50" w:before="156" w:afterLines="50" w:after="156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信号系统部分主要考察学生对确定性信号、线性时不变系统的时域、变换域的基本原理和基本方法的理解与掌握；对卷积积分/卷积和、傅里叶变换、拉普拉斯变换、z变换、抽样定理的数学概念、物理概念与工程概念的理解和掌握；以及运用信号与系统理论，结合信号与系统模型和分析方法，分析解决信号传输、系统响应和特性分析等问题的能力。</w:t>
      </w:r>
    </w:p>
    <w:p w:rsidR="0047072B" w:rsidRDefault="002C0E20">
      <w:pPr>
        <w:numPr>
          <w:ilvl w:val="0"/>
          <w:numId w:val="1"/>
        </w:numPr>
        <w:snapToGrid w:val="0"/>
        <w:spacing w:beforeLines="50" w:before="156" w:afterLines="50" w:after="156"/>
        <w:ind w:left="0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考试内容</w:t>
      </w:r>
    </w:p>
    <w:p w:rsidR="0047072B" w:rsidRDefault="002C0E20">
      <w:pPr>
        <w:numPr>
          <w:ilvl w:val="0"/>
          <w:numId w:val="2"/>
        </w:numPr>
        <w:snapToGrid w:val="0"/>
        <w:spacing w:beforeLines="50" w:before="156" w:afterLines="50" w:after="15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信号与系统</w:t>
      </w:r>
      <w:r>
        <w:rPr>
          <w:rFonts w:ascii="仿宋" w:eastAsia="仿宋" w:hAnsi="仿宋" w:hint="eastAsia"/>
          <w:sz w:val="32"/>
          <w:szCs w:val="32"/>
        </w:rPr>
        <w:t>引论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信号的描述及分类 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系统的描述及分类 </w:t>
      </w:r>
    </w:p>
    <w:p w:rsidR="0047072B" w:rsidRDefault="002C0E20">
      <w:pPr>
        <w:numPr>
          <w:ilvl w:val="0"/>
          <w:numId w:val="2"/>
        </w:numPr>
        <w:snapToGrid w:val="0"/>
        <w:spacing w:beforeLines="50" w:before="156" w:afterLines="50" w:after="15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信号的时域分析  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连续时间基本信号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 xml:space="preserve">连续时间信号的基本运算 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离散时间基本信号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 xml:space="preserve">离散时间信号的基本运算 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确定</w:t>
      </w:r>
      <w:r>
        <w:rPr>
          <w:rFonts w:ascii="仿宋" w:eastAsia="仿宋" w:hAnsi="仿宋" w:hint="eastAsia"/>
          <w:sz w:val="32"/>
          <w:szCs w:val="32"/>
        </w:rPr>
        <w:t>性</w:t>
      </w:r>
      <w:r>
        <w:rPr>
          <w:rFonts w:ascii="仿宋" w:eastAsia="仿宋" w:hAnsi="仿宋"/>
          <w:sz w:val="32"/>
          <w:szCs w:val="32"/>
        </w:rPr>
        <w:t xml:space="preserve">信号的时域分解 </w:t>
      </w:r>
    </w:p>
    <w:p w:rsidR="0047072B" w:rsidRDefault="002C0E20">
      <w:pPr>
        <w:numPr>
          <w:ilvl w:val="0"/>
          <w:numId w:val="2"/>
        </w:numPr>
        <w:snapToGrid w:val="0"/>
        <w:spacing w:beforeLines="50" w:before="156" w:afterLines="50" w:after="15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系统的时域分析 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连续/离散LTI系统的建立及响应分析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卷积积分/卷积和在LTI系统中的运用</w:t>
      </w:r>
    </w:p>
    <w:p w:rsidR="0047072B" w:rsidRDefault="002C0E20">
      <w:pPr>
        <w:numPr>
          <w:ilvl w:val="0"/>
          <w:numId w:val="2"/>
        </w:numPr>
        <w:snapToGrid w:val="0"/>
        <w:spacing w:beforeLines="50" w:before="156" w:afterLines="50" w:after="15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连续时间信号与系统的频域分析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周期信号的傅里叶级数展开以及非周期信号的傅里叶变换及其性质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信号的频谱的概念、特性及其在信号频域分析中的应用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系统的频域分析方法，包括系统频率响应、周期信</w:t>
      </w:r>
      <w:r>
        <w:rPr>
          <w:rFonts w:ascii="仿宋" w:eastAsia="仿宋" w:hAnsi="仿宋" w:hint="eastAsia"/>
          <w:sz w:val="32"/>
          <w:szCs w:val="32"/>
        </w:rPr>
        <w:lastRenderedPageBreak/>
        <w:t>号通过系统后的输出、无失真传输、滤波等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周期信号的傅里叶变换、信号的抽样与恢复</w:t>
      </w:r>
    </w:p>
    <w:p w:rsidR="0047072B" w:rsidRDefault="002C0E20">
      <w:pPr>
        <w:numPr>
          <w:ilvl w:val="0"/>
          <w:numId w:val="2"/>
        </w:numPr>
        <w:snapToGrid w:val="0"/>
        <w:spacing w:beforeLines="50" w:before="156" w:afterLines="50" w:after="15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离散时间信号与系统的频域分析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离散周期信号的傅里叶级数以及非周期信号的傅里叶变换及其性质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系统的频域分析方法，包括系统频率响应、滤波等</w:t>
      </w:r>
    </w:p>
    <w:p w:rsidR="0047072B" w:rsidRDefault="002C0E20">
      <w:pPr>
        <w:numPr>
          <w:ilvl w:val="0"/>
          <w:numId w:val="2"/>
        </w:numPr>
        <w:snapToGrid w:val="0"/>
        <w:spacing w:beforeLines="50" w:before="156" w:afterLines="50" w:after="15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连续时间信号与系统的复频域分析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拉普拉斯变换的定义、收敛域、与傅里叶变换的关系及单边拉普拉斯变换性质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连续LTI系统的复频域分析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连续LTI系统的系统函数与系统特性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连续时间系统方框图和信号流图</w:t>
      </w:r>
    </w:p>
    <w:p w:rsidR="0047072B" w:rsidRDefault="002C0E20">
      <w:pPr>
        <w:numPr>
          <w:ilvl w:val="0"/>
          <w:numId w:val="2"/>
        </w:numPr>
        <w:snapToGrid w:val="0"/>
        <w:spacing w:beforeLines="50" w:before="156" w:afterLines="50" w:after="156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离散时间信号与系统的z域分析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z变换的定义、收敛域、z变换与其它变换的关系及其性质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离散时间LTI系统的z域分析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离散时间LTI系统的系统函数与系统特性</w:t>
      </w:r>
    </w:p>
    <w:p w:rsidR="0047072B" w:rsidRDefault="002C0E20">
      <w:pPr>
        <w:numPr>
          <w:ilvl w:val="0"/>
          <w:numId w:val="3"/>
        </w:numPr>
        <w:snapToGrid w:val="0"/>
        <w:spacing w:beforeLines="50" w:before="156"/>
        <w:ind w:left="120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离散时间系统方框图和信号流图</w:t>
      </w:r>
    </w:p>
    <w:p w:rsidR="0047072B" w:rsidRDefault="002C0E20">
      <w:pPr>
        <w:numPr>
          <w:ilvl w:val="0"/>
          <w:numId w:val="1"/>
        </w:numPr>
        <w:snapToGrid w:val="0"/>
        <w:spacing w:beforeLines="50" w:before="156" w:afterLines="50" w:after="156"/>
        <w:ind w:left="0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考试形式</w:t>
      </w:r>
    </w:p>
    <w:p w:rsidR="0047072B" w:rsidRDefault="002C0E20">
      <w:pPr>
        <w:snapToGrid w:val="0"/>
        <w:spacing w:beforeLines="50" w:before="156" w:afterLines="50" w:after="156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考试形式为闭卷、笔试，考试时间为3小时，满分150分。</w:t>
      </w:r>
    </w:p>
    <w:p w:rsidR="0047072B" w:rsidRDefault="002C0E20">
      <w:pPr>
        <w:snapToGrid w:val="0"/>
        <w:spacing w:beforeLines="50" w:before="156" w:afterLines="50" w:after="156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题型包括：选择题20分、填空题20分、</w:t>
      </w:r>
      <w:r w:rsidR="00AF7132">
        <w:rPr>
          <w:rFonts w:ascii="仿宋" w:eastAsia="仿宋" w:hAnsi="仿宋" w:hint="eastAsia"/>
          <w:sz w:val="32"/>
          <w:szCs w:val="32"/>
        </w:rPr>
        <w:t>简答题30</w:t>
      </w:r>
      <w:r>
        <w:rPr>
          <w:rFonts w:ascii="仿宋" w:eastAsia="仿宋" w:hAnsi="仿宋" w:hint="eastAsia"/>
          <w:sz w:val="32"/>
          <w:szCs w:val="32"/>
        </w:rPr>
        <w:t>分、</w:t>
      </w:r>
      <w:r w:rsidR="00AF7132">
        <w:rPr>
          <w:rFonts w:ascii="仿宋" w:eastAsia="仿宋" w:hAnsi="仿宋" w:hint="eastAsia"/>
          <w:sz w:val="32"/>
          <w:szCs w:val="32"/>
        </w:rPr>
        <w:t>计算</w:t>
      </w:r>
      <w:r>
        <w:rPr>
          <w:rFonts w:ascii="仿宋" w:eastAsia="仿宋" w:hAnsi="仿宋" w:hint="eastAsia"/>
          <w:sz w:val="32"/>
          <w:szCs w:val="32"/>
        </w:rPr>
        <w:t>题</w:t>
      </w:r>
      <w:r w:rsidR="00AF7132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0分。</w:t>
      </w:r>
    </w:p>
    <w:p w:rsidR="0047072B" w:rsidRDefault="002C0E20">
      <w:pPr>
        <w:numPr>
          <w:ilvl w:val="0"/>
          <w:numId w:val="1"/>
        </w:numPr>
        <w:snapToGrid w:val="0"/>
        <w:spacing w:beforeLines="50" w:before="156" w:afterLines="50" w:after="156"/>
        <w:ind w:left="0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参考书目</w:t>
      </w:r>
    </w:p>
    <w:p w:rsidR="0047072B" w:rsidRDefault="002C0E20">
      <w:pPr>
        <w:snapToGrid w:val="0"/>
        <w:spacing w:beforeLines="50" w:before="156" w:afterLines="50" w:after="156"/>
        <w:ind w:firstLineChars="200" w:firstLine="640"/>
      </w:pPr>
      <w:r>
        <w:rPr>
          <w:rFonts w:ascii="仿宋" w:eastAsia="仿宋" w:hAnsi="仿宋" w:hint="eastAsia"/>
          <w:sz w:val="32"/>
          <w:szCs w:val="32"/>
        </w:rPr>
        <w:t>1．《信号与系统分析》（第</w:t>
      </w:r>
      <w:r w:rsidR="00AF7132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版）． 吴京</w:t>
      </w:r>
      <w:r w:rsidR="00AF7132">
        <w:rPr>
          <w:rFonts w:ascii="仿宋" w:eastAsia="仿宋" w:hAnsi="仿宋" w:hint="eastAsia"/>
          <w:sz w:val="32"/>
          <w:szCs w:val="32"/>
        </w:rPr>
        <w:t>主</w:t>
      </w:r>
      <w:r>
        <w:rPr>
          <w:rFonts w:ascii="仿宋" w:eastAsia="仿宋" w:hAnsi="仿宋" w:hint="eastAsia"/>
          <w:sz w:val="32"/>
          <w:szCs w:val="32"/>
        </w:rPr>
        <w:t xml:space="preserve">编． </w:t>
      </w:r>
      <w:r w:rsidR="00AF7132">
        <w:rPr>
          <w:rFonts w:ascii="仿宋" w:eastAsia="仿宋" w:hAnsi="仿宋" w:hint="eastAsia"/>
          <w:sz w:val="32"/>
          <w:szCs w:val="32"/>
        </w:rPr>
        <w:t>清华</w:t>
      </w:r>
      <w:r>
        <w:rPr>
          <w:rFonts w:ascii="仿宋" w:eastAsia="仿宋" w:hAnsi="仿宋" w:hint="eastAsia"/>
          <w:sz w:val="32"/>
          <w:szCs w:val="32"/>
        </w:rPr>
        <w:t>大学出版社.  20</w:t>
      </w:r>
      <w:r w:rsidR="00AF7132"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。</w:t>
      </w:r>
    </w:p>
    <w:sectPr w:rsidR="00470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C5C" w:rsidRDefault="00002C5C" w:rsidP="00CE11C7">
      <w:r>
        <w:separator/>
      </w:r>
    </w:p>
  </w:endnote>
  <w:endnote w:type="continuationSeparator" w:id="0">
    <w:p w:rsidR="00002C5C" w:rsidRDefault="00002C5C" w:rsidP="00CE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C5C" w:rsidRDefault="00002C5C" w:rsidP="00CE11C7">
      <w:r>
        <w:separator/>
      </w:r>
    </w:p>
  </w:footnote>
  <w:footnote w:type="continuationSeparator" w:id="0">
    <w:p w:rsidR="00002C5C" w:rsidRDefault="00002C5C" w:rsidP="00CE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423FF"/>
    <w:multiLevelType w:val="multilevel"/>
    <w:tmpl w:val="0FF423FF"/>
    <w:lvl w:ilvl="0">
      <w:start w:val="1"/>
      <w:numFmt w:val="decimal"/>
      <w:suff w:val="space"/>
      <w:lvlText w:val="%1．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FFB549F"/>
    <w:multiLevelType w:val="multilevel"/>
    <w:tmpl w:val="3FFB549F"/>
    <w:lvl w:ilvl="0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">
    <w:nsid w:val="6F6D08A3"/>
    <w:multiLevelType w:val="multilevel"/>
    <w:tmpl w:val="6F6D08A3"/>
    <w:lvl w:ilvl="0">
      <w:start w:val="1"/>
      <w:numFmt w:val="japaneseCounting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202D"/>
    <w:rsid w:val="00000072"/>
    <w:rsid w:val="00002C5C"/>
    <w:rsid w:val="000B363B"/>
    <w:rsid w:val="000E6E6F"/>
    <w:rsid w:val="000F5095"/>
    <w:rsid w:val="001D2615"/>
    <w:rsid w:val="00222DC0"/>
    <w:rsid w:val="002430E4"/>
    <w:rsid w:val="002C0E20"/>
    <w:rsid w:val="0039495A"/>
    <w:rsid w:val="003D3D1C"/>
    <w:rsid w:val="0042389C"/>
    <w:rsid w:val="0047072B"/>
    <w:rsid w:val="005D1B9C"/>
    <w:rsid w:val="0067202D"/>
    <w:rsid w:val="006A663A"/>
    <w:rsid w:val="006C2716"/>
    <w:rsid w:val="0071706D"/>
    <w:rsid w:val="00757451"/>
    <w:rsid w:val="007E78D3"/>
    <w:rsid w:val="008343E3"/>
    <w:rsid w:val="00897DFF"/>
    <w:rsid w:val="00961E4C"/>
    <w:rsid w:val="00A17CA5"/>
    <w:rsid w:val="00A3685F"/>
    <w:rsid w:val="00A61AB3"/>
    <w:rsid w:val="00A6363E"/>
    <w:rsid w:val="00A71BC6"/>
    <w:rsid w:val="00A82E43"/>
    <w:rsid w:val="00AB6473"/>
    <w:rsid w:val="00AD235C"/>
    <w:rsid w:val="00AF7132"/>
    <w:rsid w:val="00B42202"/>
    <w:rsid w:val="00BA4ED0"/>
    <w:rsid w:val="00C30C09"/>
    <w:rsid w:val="00CE11C7"/>
    <w:rsid w:val="00D12C05"/>
    <w:rsid w:val="00E7105B"/>
    <w:rsid w:val="00EC15C7"/>
    <w:rsid w:val="00F8423B"/>
    <w:rsid w:val="083F3360"/>
    <w:rsid w:val="653F4400"/>
    <w:rsid w:val="781C2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E1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E11C7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E1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E11C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127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京</dc:creator>
  <cp:lastModifiedBy>Microsoft</cp:lastModifiedBy>
  <cp:revision>31</cp:revision>
  <dcterms:created xsi:type="dcterms:W3CDTF">2019-05-08T09:40:00Z</dcterms:created>
  <dcterms:modified xsi:type="dcterms:W3CDTF">2022-06-02T02:55:00Z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